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6134A108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INSTITUCIONAL</w:t>
      </w:r>
    </w:p>
    <w:p w14:paraId="54155535" w14:textId="77777777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1DBE333" w14:textId="5BD4EBA3" w:rsidR="00CE2185" w:rsidRP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1.2 </w:t>
      </w:r>
      <w:r w:rsidR="00CE2185" w:rsidRPr="00C63B1F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INFORMACIÓN RELATIVA A LAS FUNCIONES QUE DESARROLLA LA ENTIDAD</w:t>
      </w:r>
    </w:p>
    <w:p w14:paraId="0310FBC8" w14:textId="77777777" w:rsidR="00CE2185" w:rsidRPr="00C63B1F" w:rsidRDefault="00CE2185" w:rsidP="00335ED2">
      <w:pPr>
        <w:tabs>
          <w:tab w:val="left" w:pos="850"/>
        </w:tabs>
        <w:spacing w:before="120" w:after="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C63B1F">
        <w:rPr>
          <w:rFonts w:cs="Arial"/>
          <w:sz w:val="18"/>
          <w:szCs w:val="18"/>
          <w:lang w:val="es-ES"/>
        </w:rPr>
        <w:t>El objetivo principal de la entidad es la promoción del desarrollo sostenible y la innovación, a través de todas sus áreas de actividad. Asimismo, constituye un objetivo primordial el fomento del conocimiento científico, la formación, la cooperación y la divulgación científica.</w:t>
      </w:r>
    </w:p>
    <w:p w14:paraId="3D97C9E6" w14:textId="77777777" w:rsidR="00CE2185" w:rsidRPr="00C63B1F" w:rsidRDefault="00CE2185" w:rsidP="00CE2185">
      <w:pPr>
        <w:tabs>
          <w:tab w:val="left" w:pos="850"/>
        </w:tabs>
        <w:spacing w:before="12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C63B1F">
        <w:rPr>
          <w:rFonts w:cs="Arial"/>
          <w:sz w:val="18"/>
          <w:szCs w:val="18"/>
          <w:lang w:val="es-ES"/>
        </w:rPr>
        <w:t>La actividad esencial de la entidad está vertebrada a través de sus diferentes áreas: Energías Renovables: realización de proyectos que contribuyan a aumentar el peso de dichas energías en el balance energético insular, promoción de la eficiencia energética y la construcción sostenible. Medioambiente: mejora de la gestión para la reducción del riesgo volcánico, gestión de recursos hídricos subterráneos, detección de recursos geotermales y vigilancia de la calidad ambiental. Tecnología: desarrollo de proyectos relacionados con el uso de las TIC y las nuevas tecnologías; a través de la infraestructura ALIX se persigue el establecimiento de las bases sobre las que las TIC y la economía del conocimiento serán implementadas. Genómica: desarrollo de proyectos de investigación relacionados con la medicina personalizada de precisión en Canarias.</w:t>
      </w:r>
    </w:p>
    <w:p w14:paraId="032956C6" w14:textId="77777777" w:rsidR="00CE2185" w:rsidRPr="00C63B1F" w:rsidRDefault="00CE2185" w:rsidP="00CE2185">
      <w:pPr>
        <w:tabs>
          <w:tab w:val="left" w:pos="850"/>
        </w:tabs>
        <w:spacing w:before="12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C63B1F">
        <w:rPr>
          <w:rFonts w:cs="Arial"/>
          <w:sz w:val="18"/>
          <w:szCs w:val="18"/>
          <w:lang w:val="es-ES"/>
        </w:rPr>
        <w:t>Le están especialmente encomendadas dentro de su objeto social, entre otras, las siguientes actividades:</w:t>
      </w:r>
    </w:p>
    <w:p w14:paraId="63F2A8B8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Realizar y promover cualquier tipo de investigación aplicada en el campo de las energías renovables o relacionadas con ella.</w:t>
      </w:r>
    </w:p>
    <w:p w14:paraId="6F3F7CED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Desarrollar sistemas técnicos que permitan el aprovechamiento de las energías renovables.</w:t>
      </w:r>
    </w:p>
    <w:p w14:paraId="71A87805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Coordinar los proyectos I+D que en el campo energético se realicen en Canarias y estudiar las interrelaciones con temas afines.</w:t>
      </w:r>
    </w:p>
    <w:p w14:paraId="6711559E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Crear la infraestructura necesaria para el desarrollo de la ingeniería, la industria local y la investigación en otras áreas.</w:t>
      </w:r>
    </w:p>
    <w:p w14:paraId="1F0E8DB4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Explotación de los resultados por parte de la industria local y exportación de know-how, a otros países y archipiélagos.</w:t>
      </w:r>
    </w:p>
    <w:p w14:paraId="0C5EFD2C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Fomentar las relaciones con la comunidad científica nacional e internacional.</w:t>
      </w:r>
    </w:p>
    <w:p w14:paraId="33233F1A" w14:textId="77777777" w:rsidR="00CE2185" w:rsidRPr="00C63B1F" w:rsidRDefault="00CE2185" w:rsidP="00CE2185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Formar y capacitar personal científico y técnico en todos los campos relacionados con las energías renovables.</w:t>
      </w:r>
    </w:p>
    <w:p w14:paraId="6A38922C" w14:textId="77777777" w:rsidR="00CE2185" w:rsidRPr="00C63B1F" w:rsidRDefault="00CE2185" w:rsidP="00CE2185">
      <w:pPr>
        <w:tabs>
          <w:tab w:val="left" w:pos="-720"/>
        </w:tabs>
        <w:suppressAutoHyphens/>
        <w:spacing w:before="120" w:line="260" w:lineRule="exact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b/>
          <w:spacing w:val="-3"/>
          <w:sz w:val="18"/>
          <w:szCs w:val="18"/>
          <w:lang w:val="es-ES"/>
        </w:rPr>
        <w:t>Actividades a que se dedica:</w:t>
      </w:r>
    </w:p>
    <w:p w14:paraId="174C9800" w14:textId="77777777" w:rsidR="00CE2185" w:rsidRPr="00C63B1F" w:rsidRDefault="00CE2185" w:rsidP="00CE2185">
      <w:pPr>
        <w:numPr>
          <w:ilvl w:val="0"/>
          <w:numId w:val="48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Generación de electricidad mediante aerogeneradores.</w:t>
      </w:r>
    </w:p>
    <w:p w14:paraId="706FEEB2" w14:textId="77777777" w:rsidR="00CE2185" w:rsidRPr="00C63B1F" w:rsidRDefault="00CE2185" w:rsidP="00CE2185">
      <w:pPr>
        <w:numPr>
          <w:ilvl w:val="0"/>
          <w:numId w:val="48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C63B1F">
        <w:rPr>
          <w:rFonts w:cs="Arial"/>
          <w:spacing w:val="-3"/>
          <w:sz w:val="18"/>
          <w:szCs w:val="18"/>
          <w:lang w:val="es-ES"/>
        </w:rPr>
        <w:t>Proyectos de investigación en energías renovables.</w:t>
      </w:r>
    </w:p>
    <w:p w14:paraId="56674B09" w14:textId="77777777" w:rsidR="00CE2185" w:rsidRPr="00C63B1F" w:rsidRDefault="00CE2185" w:rsidP="00CE2185">
      <w:pPr>
        <w:tabs>
          <w:tab w:val="left" w:pos="426"/>
        </w:tabs>
        <w:spacing w:before="120" w:after="120" w:line="260" w:lineRule="exact"/>
        <w:jc w:val="both"/>
        <w:rPr>
          <w:rFonts w:cs="Arial"/>
          <w:noProof/>
          <w:sz w:val="18"/>
          <w:szCs w:val="18"/>
          <w:lang w:val="es-ES" w:eastAsia="es-ES_tradnl"/>
        </w:rPr>
      </w:pPr>
      <w:r w:rsidRPr="00C63B1F">
        <w:rPr>
          <w:rFonts w:cs="Arial"/>
          <w:sz w:val="18"/>
          <w:szCs w:val="18"/>
          <w:lang w:val="es-ES"/>
        </w:rPr>
        <w:t>A 31 de diciembre de 2021 se ha efectuado la consolidación de las sociedades integrantes del Grupo. Las sociedades que conforman el perímetro de consolidación, así como los porcentajes de participación mantenidos directa o indirectamente por la Sociedad Dominante y los métodos de consolidación aplicados, son los siguientes: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0"/>
        <w:gridCol w:w="1519"/>
        <w:gridCol w:w="2277"/>
      </w:tblGrid>
      <w:tr w:rsidR="005C6CCD" w14:paraId="4C21092B" w14:textId="77777777" w:rsidTr="005C6CCD">
        <w:trPr>
          <w:trHeight w:val="340"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73185D" w14:textId="77777777" w:rsidR="005C6CCD" w:rsidRDefault="005C6CCD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kern w:val="2"/>
                <w:sz w:val="16"/>
                <w:szCs w:val="16"/>
                <w:lang w:val="es-ES" w:eastAsia="es-ES"/>
              </w:rPr>
            </w:pPr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>SOCIEDAD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17A9003" w14:textId="77777777" w:rsidR="005C6CCD" w:rsidRDefault="005C6CC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sz w:val="16"/>
                <w:szCs w:val="16"/>
              </w:rPr>
            </w:pPr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>%</w:t>
            </w:r>
          </w:p>
          <w:p w14:paraId="45F38FF7" w14:textId="77777777" w:rsidR="005C6CCD" w:rsidRDefault="005C6CC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>Participación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E6DE82" w14:textId="77777777" w:rsidR="005C6CCD" w:rsidRDefault="005C6CC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>Método</w:t>
            </w:r>
            <w:proofErr w:type="spellEnd"/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 xml:space="preserve"> de </w:t>
            </w:r>
          </w:p>
          <w:p w14:paraId="52F2EAA8" w14:textId="77777777" w:rsidR="005C6CCD" w:rsidRDefault="005C6CC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kern w:val="2"/>
                <w:sz w:val="16"/>
                <w:szCs w:val="16"/>
              </w:rPr>
              <w:t>consolidación</w:t>
            </w:r>
            <w:proofErr w:type="spellEnd"/>
          </w:p>
        </w:tc>
      </w:tr>
      <w:tr w:rsidR="005C6CCD" w14:paraId="629FFB27" w14:textId="77777777" w:rsidTr="005C6CCD">
        <w:trPr>
          <w:trHeight w:val="340"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9A42B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 xml:space="preserve">INSTITUTO TECNOLOGICO Y DE TELECOMUNICACIONES </w:t>
            </w:r>
          </w:p>
          <w:p w14:paraId="31CBCE87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DE TENERIFE, SL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EE0C4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100 %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1A33C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Integración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global</w:t>
            </w:r>
          </w:p>
        </w:tc>
      </w:tr>
      <w:tr w:rsidR="005C6CCD" w14:paraId="3D691AD5" w14:textId="77777777" w:rsidTr="005C6CCD">
        <w:trPr>
          <w:trHeight w:val="340"/>
        </w:trPr>
        <w:tc>
          <w:tcPr>
            <w:tcW w:w="3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2F683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CANARIAS SUBMARINE LINK, SL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7D649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100 %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46811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Integración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global</w:t>
            </w:r>
          </w:p>
        </w:tc>
      </w:tr>
      <w:tr w:rsidR="005C6CCD" w14:paraId="165F1D81" w14:textId="77777777" w:rsidTr="005C6CCD">
        <w:trPr>
          <w:trHeight w:val="283"/>
        </w:trPr>
        <w:tc>
          <w:tcPr>
            <w:tcW w:w="3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7423D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INSTITUTO VOLCANOLOGIO DE CANARIAS, SA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4BE01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100 %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A0DC6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Integración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global</w:t>
            </w:r>
          </w:p>
        </w:tc>
      </w:tr>
      <w:tr w:rsidR="005C6CCD" w14:paraId="6A8248B2" w14:textId="77777777" w:rsidTr="005C6CCD">
        <w:trPr>
          <w:trHeight w:val="283"/>
        </w:trPr>
        <w:tc>
          <w:tcPr>
            <w:tcW w:w="3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B96A8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SOLTEN II GRANADILLA, SA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F9F19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21,76 %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7436B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Puesta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equivalencia</w:t>
            </w:r>
            <w:proofErr w:type="spellEnd"/>
          </w:p>
        </w:tc>
      </w:tr>
      <w:tr w:rsidR="005C6CCD" w14:paraId="4C923849" w14:textId="77777777" w:rsidTr="005C6CCD">
        <w:trPr>
          <w:trHeight w:val="283"/>
        </w:trPr>
        <w:tc>
          <w:tcPr>
            <w:tcW w:w="3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BB300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lastRenderedPageBreak/>
              <w:t>EVM2 ENERGIAS RENOVABLES, SL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ED4C6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30 %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59E99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Puesta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equivalencia</w:t>
            </w:r>
            <w:proofErr w:type="spellEnd"/>
          </w:p>
        </w:tc>
      </w:tr>
      <w:tr w:rsidR="005C6CCD" w14:paraId="388BD460" w14:textId="77777777" w:rsidTr="005C6CCD">
        <w:trPr>
          <w:trHeight w:val="283"/>
        </w:trPr>
        <w:tc>
          <w:tcPr>
            <w:tcW w:w="3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62728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ENERGIA VERDE DE LA MACARONESIA, SL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8ECD1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39,94 %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1EC1C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Puesta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equivalencia</w:t>
            </w:r>
            <w:proofErr w:type="spellEnd"/>
          </w:p>
        </w:tc>
      </w:tr>
      <w:tr w:rsidR="005C6CCD" w14:paraId="17769E09" w14:textId="77777777" w:rsidTr="005C6CCD">
        <w:trPr>
          <w:trHeight w:val="283"/>
        </w:trPr>
        <w:tc>
          <w:tcPr>
            <w:tcW w:w="3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376C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EOLICAS DE TENERIFE AIE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0E30" w14:textId="77777777" w:rsidR="005C6CCD" w:rsidRDefault="005C6CCD">
            <w:pPr>
              <w:spacing w:line="256" w:lineRule="auto"/>
              <w:jc w:val="center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50 %</w:t>
            </w: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2D1E" w14:textId="77777777" w:rsidR="005C6CCD" w:rsidRDefault="005C6CCD">
            <w:pPr>
              <w:spacing w:line="256" w:lineRule="auto"/>
              <w:rPr>
                <w:rFonts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Puesta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kern w:val="2"/>
                <w:sz w:val="16"/>
                <w:szCs w:val="16"/>
              </w:rPr>
              <w:t>equivalencia</w:t>
            </w:r>
            <w:proofErr w:type="spellEnd"/>
          </w:p>
        </w:tc>
      </w:tr>
    </w:tbl>
    <w:p w14:paraId="67BF6381" w14:textId="225DC9BC" w:rsidR="00E448BB" w:rsidRPr="00C63B1F" w:rsidRDefault="00E448BB" w:rsidP="00E448BB">
      <w:pPr>
        <w:spacing w:after="0" w:line="360" w:lineRule="auto"/>
        <w:jc w:val="right"/>
        <w:rPr>
          <w:b/>
          <w:sz w:val="18"/>
          <w:szCs w:val="18"/>
          <w:lang w:val="es-ES"/>
        </w:rPr>
      </w:pPr>
      <w:r w:rsidRPr="00C63B1F">
        <w:rPr>
          <w:b/>
          <w:sz w:val="18"/>
          <w:szCs w:val="18"/>
          <w:lang w:val="es-ES"/>
        </w:rPr>
        <w:t>.</w:t>
      </w:r>
    </w:p>
    <w:p w14:paraId="4249D43C" w14:textId="77777777" w:rsidR="00DA5F10" w:rsidRPr="00C63B1F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sectPr w:rsidR="00DA5F10" w:rsidRPr="00C63B1F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3CEEB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881B6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5C6CCD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C6CCD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 w15:restartNumberingAfterBreak="0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C70338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29" w15:restartNumberingAfterBreak="0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8D58EC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34" w15:restartNumberingAfterBreak="0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1"/>
  </w:num>
  <w:num w:numId="3">
    <w:abstractNumId w:val="45"/>
  </w:num>
  <w:num w:numId="4">
    <w:abstractNumId w:val="2"/>
  </w:num>
  <w:num w:numId="5">
    <w:abstractNumId w:val="43"/>
  </w:num>
  <w:num w:numId="6">
    <w:abstractNumId w:val="37"/>
  </w:num>
  <w:num w:numId="7">
    <w:abstractNumId w:val="39"/>
  </w:num>
  <w:num w:numId="8">
    <w:abstractNumId w:val="30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4"/>
  </w:num>
  <w:num w:numId="15">
    <w:abstractNumId w:val="23"/>
  </w:num>
  <w:num w:numId="16">
    <w:abstractNumId w:val="9"/>
  </w:num>
  <w:num w:numId="17">
    <w:abstractNumId w:val="38"/>
  </w:num>
  <w:num w:numId="18">
    <w:abstractNumId w:val="20"/>
  </w:num>
  <w:num w:numId="19">
    <w:abstractNumId w:val="25"/>
  </w:num>
  <w:num w:numId="20">
    <w:abstractNumId w:val="29"/>
  </w:num>
  <w:num w:numId="21">
    <w:abstractNumId w:val="26"/>
  </w:num>
  <w:num w:numId="22">
    <w:abstractNumId w:val="8"/>
  </w:num>
  <w:num w:numId="23">
    <w:abstractNumId w:val="41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5"/>
  </w:num>
  <w:num w:numId="31">
    <w:abstractNumId w:val="40"/>
  </w:num>
  <w:num w:numId="32">
    <w:abstractNumId w:val="31"/>
  </w:num>
  <w:num w:numId="33">
    <w:abstractNumId w:val="46"/>
  </w:num>
  <w:num w:numId="34">
    <w:abstractNumId w:val="24"/>
  </w:num>
  <w:num w:numId="35">
    <w:abstractNumId w:val="7"/>
  </w:num>
  <w:num w:numId="36">
    <w:abstractNumId w:val="4"/>
  </w:num>
  <w:num w:numId="37">
    <w:abstractNumId w:val="47"/>
  </w:num>
  <w:num w:numId="38">
    <w:abstractNumId w:val="44"/>
  </w:num>
  <w:num w:numId="39">
    <w:abstractNumId w:val="27"/>
  </w:num>
  <w:num w:numId="40">
    <w:abstractNumId w:val="21"/>
  </w:num>
  <w:num w:numId="41">
    <w:abstractNumId w:val="10"/>
  </w:num>
  <w:num w:numId="42">
    <w:abstractNumId w:val="32"/>
  </w:num>
  <w:num w:numId="43">
    <w:abstractNumId w:val="22"/>
  </w:num>
  <w:num w:numId="44">
    <w:abstractNumId w:val="5"/>
  </w:num>
  <w:num w:numId="45">
    <w:abstractNumId w:val="0"/>
  </w:num>
  <w:num w:numId="46">
    <w:abstractNumId w:val="36"/>
  </w:num>
  <w:num w:numId="47">
    <w:abstractNumId w:val="33"/>
  </w:num>
  <w:num w:numId="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0" ma:contentTypeDescription="Crear nuevo documento." ma:contentTypeScope="" ma:versionID="e6d55ca7c6862c3b6c7ab2a9bec61c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C25B9-B5E5-44A6-9184-17A79ED67BB3}"/>
</file>

<file path=customXml/itemProps3.xml><?xml version="1.0" encoding="utf-8"?>
<ds:datastoreItem xmlns:ds="http://schemas.openxmlformats.org/officeDocument/2006/customXml" ds:itemID="{96D285E0-D396-4EB3-9BD5-10D48306A22A}"/>
</file>

<file path=customXml/itemProps4.xml><?xml version="1.0" encoding="utf-8"?>
<ds:datastoreItem xmlns:ds="http://schemas.openxmlformats.org/officeDocument/2006/customXml" ds:itemID="{A6FEB7D1-4E58-4DAB-BE96-BF8BA086B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5</cp:revision>
  <cp:lastPrinted>2021-02-03T13:55:00Z</cp:lastPrinted>
  <dcterms:created xsi:type="dcterms:W3CDTF">2023-01-26T09:47:00Z</dcterms:created>
  <dcterms:modified xsi:type="dcterms:W3CDTF">2024-06-19T09:06:00Z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